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w:t>
      </w:r>
      <w:r w:rsidR="00175857">
        <w:rPr>
          <w:rFonts w:ascii="Arial" w:hAnsi="Arial"/>
          <w:color w:val="auto"/>
          <w:sz w:val="20"/>
        </w:rPr>
        <w:t>s intended for direct 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4B209D" w:rsidRPr="007050C2" w:rsidRDefault="004B209D" w:rsidP="004B209D">
      <w:pPr>
        <w:pStyle w:val="ART"/>
        <w:rPr>
          <w:rFonts w:ascii="Arial" w:hAnsi="Arial"/>
          <w:b/>
          <w:sz w:val="20"/>
          <w:szCs w:val="20"/>
        </w:rPr>
      </w:pPr>
      <w:r w:rsidRPr="007050C2">
        <w:rPr>
          <w:rFonts w:ascii="Arial" w:hAnsi="Arial"/>
          <w:b/>
          <w:sz w:val="20"/>
          <w:szCs w:val="20"/>
        </w:rPr>
        <w:t>TRAFFIC COATINGS (SIKALASTIC 720/745 Textured TRAFFIC SYSTEM)</w:t>
      </w:r>
      <w:bookmarkStart w:id="0" w:name="_GoBack"/>
      <w:bookmarkEnd w:id="0"/>
    </w:p>
    <w:p w:rsidR="004B209D" w:rsidRPr="00A42026" w:rsidRDefault="007C4158" w:rsidP="004B209D">
      <w:pPr>
        <w:pStyle w:val="PR1"/>
        <w:rPr>
          <w:rFonts w:ascii="Arial" w:hAnsi="Arial"/>
          <w:sz w:val="20"/>
        </w:rPr>
      </w:pPr>
      <w:r>
        <w:rPr>
          <w:rFonts w:ascii="Arial" w:hAnsi="Arial"/>
          <w:sz w:val="20"/>
        </w:rPr>
        <w:t>Vehicular</w:t>
      </w:r>
      <w:r w:rsidR="004B209D" w:rsidRPr="00A42026">
        <w:rPr>
          <w:rFonts w:ascii="Arial" w:hAnsi="Arial"/>
          <w:sz w:val="20"/>
        </w:rPr>
        <w:t xml:space="preserve"> Traffic Coating:  </w:t>
      </w:r>
      <w:proofErr w:type="spellStart"/>
      <w:r w:rsidR="004B209D" w:rsidRPr="00A42026">
        <w:rPr>
          <w:rFonts w:ascii="Arial" w:hAnsi="Arial"/>
          <w:sz w:val="20"/>
        </w:rPr>
        <w:t>Sikalastic</w:t>
      </w:r>
      <w:proofErr w:type="spellEnd"/>
      <w:r w:rsidR="004B209D" w:rsidRPr="00A42026">
        <w:rPr>
          <w:rFonts w:ascii="Arial" w:hAnsi="Arial"/>
          <w:sz w:val="20"/>
        </w:rPr>
        <w:t xml:space="preserve"> 720/745</w:t>
      </w:r>
      <w:r w:rsidR="004B209D">
        <w:rPr>
          <w:rFonts w:ascii="Arial" w:hAnsi="Arial"/>
          <w:sz w:val="20"/>
        </w:rPr>
        <w:t xml:space="preserve"> Textured</w:t>
      </w:r>
      <w:r w:rsidR="004B209D" w:rsidRPr="00A42026">
        <w:rPr>
          <w:rFonts w:ascii="Arial" w:hAnsi="Arial"/>
          <w:sz w:val="20"/>
        </w:rPr>
        <w:t xml:space="preserve"> Traffic System comprised of the following:</w:t>
      </w:r>
    </w:p>
    <w:p w:rsidR="00175857" w:rsidRPr="00175857" w:rsidRDefault="00175857" w:rsidP="00175857">
      <w:pPr>
        <w:pStyle w:val="PR2"/>
        <w:rPr>
          <w:sz w:val="20"/>
          <w:szCs w:val="20"/>
        </w:rPr>
      </w:pPr>
      <w:proofErr w:type="spellStart"/>
      <w:r w:rsidRPr="00175857">
        <w:rPr>
          <w:sz w:val="20"/>
          <w:szCs w:val="20"/>
        </w:rPr>
        <w:t>Sikalastic</w:t>
      </w:r>
      <w:proofErr w:type="spellEnd"/>
      <w:r w:rsidRPr="00175857">
        <w:rPr>
          <w:sz w:val="20"/>
          <w:szCs w:val="20"/>
        </w:rPr>
        <w:t xml:space="preserve"> Primer fast curing 1C PU primer.</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w:t>
      </w:r>
      <w:r w:rsidRPr="00A42026">
        <w:rPr>
          <w:rFonts w:ascii="Arial" w:hAnsi="Arial"/>
          <w:sz w:val="20"/>
        </w:rPr>
        <w:t>FTP water-based epoxy primer</w:t>
      </w:r>
      <w:r>
        <w:rPr>
          <w:rFonts w:ascii="Arial" w:hAnsi="Arial"/>
          <w:sz w:val="20"/>
        </w:rPr>
        <w:t>.</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FTP </w:t>
      </w:r>
      <w:proofErr w:type="spellStart"/>
      <w:r>
        <w:rPr>
          <w:rFonts w:ascii="Arial" w:hAnsi="Arial"/>
          <w:sz w:val="20"/>
        </w:rPr>
        <w:t>LoVOC</w:t>
      </w:r>
      <w:proofErr w:type="spellEnd"/>
      <w:r>
        <w:rPr>
          <w:rFonts w:ascii="Arial" w:hAnsi="Arial"/>
          <w:sz w:val="20"/>
        </w:rPr>
        <w:t xml:space="preserve"> 100% solids epoxy primer (as a standard primer </w:t>
      </w:r>
      <w:proofErr w:type="gramStart"/>
      <w:r>
        <w:rPr>
          <w:rFonts w:ascii="Arial" w:hAnsi="Arial"/>
          <w:sz w:val="20"/>
        </w:rPr>
        <w:t>and  for</w:t>
      </w:r>
      <w:proofErr w:type="gramEnd"/>
      <w:r>
        <w:rPr>
          <w:rFonts w:ascii="Arial" w:hAnsi="Arial"/>
          <w:sz w:val="20"/>
        </w:rPr>
        <w:t xml:space="preserve"> recoat applications and elevated moisture content up to 6% by </w:t>
      </w:r>
      <w:proofErr w:type="spellStart"/>
      <w:r>
        <w:rPr>
          <w:rFonts w:ascii="Arial" w:hAnsi="Arial"/>
          <w:sz w:val="20"/>
        </w:rPr>
        <w:t>Tramex</w:t>
      </w:r>
      <w:proofErr w:type="spellEnd"/>
      <w:r>
        <w:rPr>
          <w:rFonts w:ascii="Arial" w:hAnsi="Arial"/>
          <w:sz w:val="20"/>
        </w:rPr>
        <w:t xml:space="preserve"> ).</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PF Lo-VOC 100% solids epoxy primer (for rough and/or porous substrates).</w:t>
      </w:r>
    </w:p>
    <w:p w:rsidR="004B209D" w:rsidRPr="00AA4C1C" w:rsidRDefault="004B209D" w:rsidP="004B209D">
      <w:pPr>
        <w:pStyle w:val="PR2"/>
        <w:rPr>
          <w:rFonts w:ascii="Arial" w:hAnsi="Arial" w:cs="Arial"/>
          <w:sz w:val="20"/>
          <w:szCs w:val="20"/>
        </w:rPr>
      </w:pPr>
      <w:proofErr w:type="spellStart"/>
      <w:r w:rsidRPr="00AA4C1C">
        <w:rPr>
          <w:rFonts w:ascii="Arial" w:hAnsi="Arial" w:cs="Arial"/>
          <w:sz w:val="20"/>
          <w:szCs w:val="20"/>
        </w:rPr>
        <w:t>Sikalastic</w:t>
      </w:r>
      <w:proofErr w:type="spellEnd"/>
      <w:r w:rsidRPr="00AA4C1C">
        <w:rPr>
          <w:rFonts w:ascii="Arial" w:hAnsi="Arial" w:cs="Arial"/>
          <w:sz w:val="20"/>
          <w:szCs w:val="20"/>
        </w:rPr>
        <w:t xml:space="preserve"> MT 100% solids epoxy primer (for substrates with elevated moisture content</w:t>
      </w:r>
      <w:r>
        <w:rPr>
          <w:rFonts w:ascii="Arial" w:hAnsi="Arial" w:cs="Arial"/>
          <w:sz w:val="20"/>
          <w:szCs w:val="20"/>
        </w:rPr>
        <w:t xml:space="preserve"> up to 6 % by </w:t>
      </w:r>
      <w:proofErr w:type="spellStart"/>
      <w:proofErr w:type="gramStart"/>
      <w:r>
        <w:rPr>
          <w:rFonts w:ascii="Arial" w:hAnsi="Arial" w:cs="Arial"/>
          <w:sz w:val="20"/>
          <w:szCs w:val="20"/>
        </w:rPr>
        <w:t>Tramex</w:t>
      </w:r>
      <w:proofErr w:type="spellEnd"/>
      <w:r>
        <w:rPr>
          <w:rFonts w:ascii="Arial" w:hAnsi="Arial" w:cs="Arial"/>
          <w:sz w:val="20"/>
          <w:szCs w:val="20"/>
        </w:rPr>
        <w:t xml:space="preserve"> </w:t>
      </w:r>
      <w:r w:rsidRPr="00AA4C1C">
        <w:rPr>
          <w:rFonts w:ascii="Arial" w:hAnsi="Arial" w:cs="Arial"/>
          <w:sz w:val="20"/>
          <w:szCs w:val="20"/>
        </w:rPr>
        <w:t>)</w:t>
      </w:r>
      <w:proofErr w:type="gramEnd"/>
      <w:r w:rsidRPr="00AA4C1C">
        <w:rPr>
          <w:rFonts w:ascii="Arial" w:hAnsi="Arial" w:cs="Arial"/>
          <w:sz w:val="20"/>
          <w:szCs w:val="20"/>
        </w:rPr>
        <w:t>.</w:t>
      </w:r>
    </w:p>
    <w:p w:rsidR="004B209D" w:rsidRPr="00A42026"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720 Base </w:t>
      </w:r>
      <w:r>
        <w:rPr>
          <w:rFonts w:ascii="Arial" w:hAnsi="Arial"/>
          <w:sz w:val="20"/>
        </w:rPr>
        <w:t>two</w:t>
      </w:r>
      <w:r w:rsidRPr="00A42026">
        <w:rPr>
          <w:rFonts w:ascii="Arial" w:hAnsi="Arial"/>
          <w:sz w:val="20"/>
        </w:rPr>
        <w:t>-component aromatic polyurethane base coat.</w:t>
      </w:r>
    </w:p>
    <w:p w:rsidR="004B209D"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745 </w:t>
      </w:r>
      <w:r>
        <w:rPr>
          <w:rFonts w:ascii="Arial" w:hAnsi="Arial"/>
          <w:sz w:val="20"/>
        </w:rPr>
        <w:t xml:space="preserve">Textured </w:t>
      </w:r>
      <w:r w:rsidRPr="00A42026">
        <w:rPr>
          <w:rFonts w:ascii="Arial" w:hAnsi="Arial"/>
          <w:sz w:val="20"/>
        </w:rPr>
        <w:t xml:space="preserve">Top </w:t>
      </w:r>
      <w:r>
        <w:rPr>
          <w:rFonts w:ascii="Arial" w:hAnsi="Arial"/>
          <w:sz w:val="20"/>
        </w:rPr>
        <w:t>two</w:t>
      </w:r>
      <w:r w:rsidRPr="00A42026">
        <w:rPr>
          <w:rFonts w:ascii="Arial" w:hAnsi="Arial"/>
          <w:sz w:val="20"/>
        </w:rPr>
        <w:t>-component a</w:t>
      </w:r>
      <w:r>
        <w:rPr>
          <w:rFonts w:ascii="Arial" w:hAnsi="Arial"/>
          <w:sz w:val="20"/>
        </w:rPr>
        <w:t>liphatic</w:t>
      </w:r>
      <w:r w:rsidRPr="00A42026">
        <w:rPr>
          <w:rFonts w:ascii="Arial" w:hAnsi="Arial"/>
          <w:sz w:val="20"/>
        </w:rPr>
        <w:t xml:space="preserve"> polyurethane top coat</w:t>
      </w:r>
      <w:r>
        <w:rPr>
          <w:rFonts w:ascii="Arial" w:hAnsi="Arial"/>
          <w:sz w:val="20"/>
        </w:rPr>
        <w:t xml:space="preserve"> with integrated </w:t>
      </w:r>
      <w:proofErr w:type="gramStart"/>
      <w:r>
        <w:rPr>
          <w:rFonts w:ascii="Arial" w:hAnsi="Arial"/>
          <w:sz w:val="20"/>
        </w:rPr>
        <w:t xml:space="preserve">aggregate </w:t>
      </w:r>
      <w:r w:rsidRPr="00A42026">
        <w:rPr>
          <w:rFonts w:ascii="Arial" w:hAnsi="Arial"/>
          <w:sz w:val="20"/>
        </w:rPr>
        <w:t>.</w:t>
      </w:r>
      <w:proofErr w:type="gramEnd"/>
    </w:p>
    <w:p w:rsidR="004B209D" w:rsidRPr="00A42026" w:rsidRDefault="004B209D" w:rsidP="004B209D">
      <w:pPr>
        <w:pStyle w:val="PR1"/>
        <w:numPr>
          <w:ilvl w:val="0"/>
          <w:numId w:val="0"/>
        </w:numPr>
        <w:ind w:left="864"/>
      </w:pPr>
    </w:p>
    <w:p w:rsidR="004B209D" w:rsidRPr="00A42026" w:rsidRDefault="004B209D" w:rsidP="004B209D">
      <w:pPr>
        <w:pStyle w:val="PR2"/>
        <w:numPr>
          <w:ilvl w:val="0"/>
          <w:numId w:val="0"/>
        </w:numPr>
        <w:ind w:left="1440"/>
        <w:rPr>
          <w:rFonts w:ascii="Arial" w:hAnsi="Arial"/>
          <w:sz w:val="20"/>
        </w:rPr>
      </w:pPr>
    </w:p>
    <w:p w:rsidR="004B209D" w:rsidRPr="00A42026" w:rsidRDefault="004B209D" w:rsidP="004B209D">
      <w:pPr>
        <w:pStyle w:val="PR1"/>
        <w:rPr>
          <w:rFonts w:ascii="Arial" w:hAnsi="Arial"/>
          <w:sz w:val="20"/>
        </w:rPr>
      </w:pPr>
      <w:r w:rsidRPr="00A42026">
        <w:rPr>
          <w:rFonts w:ascii="Arial" w:hAnsi="Arial"/>
          <w:sz w:val="20"/>
        </w:rPr>
        <w:t>Applied Total Dry Film Thickness Exclusive of Aggregate:</w:t>
      </w:r>
    </w:p>
    <w:p w:rsidR="007C4158" w:rsidRPr="00302279" w:rsidRDefault="007C4158" w:rsidP="007C4158">
      <w:pPr>
        <w:pStyle w:val="PR2"/>
        <w:rPr>
          <w:rFonts w:ascii="Arial" w:hAnsi="Arial" w:cs="Arial"/>
          <w:sz w:val="20"/>
          <w:szCs w:val="20"/>
        </w:rPr>
      </w:pPr>
      <w:r w:rsidRPr="00302279">
        <w:rPr>
          <w:rFonts w:ascii="Arial" w:hAnsi="Arial" w:cs="Arial"/>
          <w:sz w:val="20"/>
          <w:szCs w:val="20"/>
        </w:rPr>
        <w:t>Standard Vehicular Traffic:  43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Heavy Vehicular Traffic:  55 mils.</w:t>
      </w:r>
    </w:p>
    <w:p w:rsidR="007C4158" w:rsidRPr="00302279" w:rsidRDefault="007C4158" w:rsidP="006B5A1B">
      <w:pPr>
        <w:pStyle w:val="PR2"/>
        <w:numPr>
          <w:ilvl w:val="0"/>
          <w:numId w:val="0"/>
        </w:numPr>
        <w:ind w:left="1440"/>
        <w:rPr>
          <w:rFonts w:ascii="Arial" w:hAnsi="Arial" w:cs="Arial"/>
          <w:sz w:val="20"/>
          <w:szCs w:val="20"/>
        </w:rPr>
      </w:pPr>
    </w:p>
    <w:p w:rsidR="004B209D" w:rsidRPr="00FC3AC4" w:rsidRDefault="004B209D" w:rsidP="004B209D">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B209D" w:rsidRPr="00A42026" w:rsidRDefault="004B209D" w:rsidP="004B209D">
      <w:pPr>
        <w:pStyle w:val="PR1"/>
        <w:rPr>
          <w:rFonts w:ascii="Arial" w:hAnsi="Arial"/>
          <w:sz w:val="20"/>
        </w:rPr>
      </w:pPr>
      <w:r w:rsidRPr="00A42026">
        <w:rPr>
          <w:rFonts w:ascii="Arial" w:hAnsi="Arial"/>
          <w:sz w:val="20"/>
        </w:rPr>
        <w:t xml:space="preserve">Base and Top </w:t>
      </w:r>
      <w:proofErr w:type="spellStart"/>
      <w:r w:rsidRPr="00A42026">
        <w:rPr>
          <w:rFonts w:ascii="Arial" w:hAnsi="Arial"/>
          <w:sz w:val="20"/>
        </w:rPr>
        <w:t>Coats</w:t>
      </w:r>
      <w:proofErr w:type="gramStart"/>
      <w:r w:rsidRPr="00A42026">
        <w:rPr>
          <w:rFonts w:ascii="Arial" w:hAnsi="Arial"/>
          <w:sz w:val="20"/>
        </w:rPr>
        <w:t>:</w:t>
      </w:r>
      <w:r w:rsidR="004636BF" w:rsidRPr="009160DD">
        <w:rPr>
          <w:rFonts w:ascii="Arial" w:hAnsi="Arial"/>
          <w:sz w:val="20"/>
        </w:rPr>
        <w:t>Typical</w:t>
      </w:r>
      <w:proofErr w:type="spellEnd"/>
      <w:proofErr w:type="gramEnd"/>
      <w:r w:rsidRPr="009160DD">
        <w:rPr>
          <w:rFonts w:ascii="Arial" w:hAnsi="Arial"/>
          <w:sz w:val="20"/>
        </w:rPr>
        <w:t xml:space="preserve"> </w:t>
      </w:r>
      <w:r w:rsidRPr="00A42026">
        <w:rPr>
          <w:rFonts w:ascii="Arial" w:hAnsi="Arial"/>
          <w:sz w:val="20"/>
        </w:rPr>
        <w:t xml:space="preserve"> Physical properties complying with the following.</w:t>
      </w:r>
    </w:p>
    <w:p w:rsidR="004B209D" w:rsidRPr="00A42026" w:rsidRDefault="004B209D" w:rsidP="004B209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720 Base</w:t>
      </w:r>
      <w:r w:rsidRPr="00A42026">
        <w:rPr>
          <w:rFonts w:ascii="Arial" w:hAnsi="Arial"/>
          <w:sz w:val="20"/>
        </w:rPr>
        <w:tab/>
        <w:t xml:space="preserve">745 </w:t>
      </w:r>
      <w:r>
        <w:rPr>
          <w:rFonts w:ascii="Arial" w:hAnsi="Arial"/>
          <w:sz w:val="20"/>
        </w:rPr>
        <w:t xml:space="preserve">Textured </w:t>
      </w:r>
      <w:r w:rsidRPr="00A42026">
        <w:rPr>
          <w:rFonts w:ascii="Arial" w:hAnsi="Arial"/>
          <w:sz w:val="20"/>
        </w:rPr>
        <w:t>Top</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t xml:space="preserve">10-15 minutes </w:t>
      </w:r>
      <w:r w:rsidRPr="00A42026">
        <w:rPr>
          <w:rFonts w:ascii="Arial" w:hAnsi="Arial"/>
          <w:sz w:val="20"/>
        </w:rPr>
        <w:tab/>
        <w:t>20-30 minutes</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95% </w:t>
      </w:r>
      <w:r w:rsidRPr="00A42026">
        <w:rPr>
          <w:rFonts w:ascii="Arial" w:hAnsi="Arial"/>
          <w:sz w:val="20"/>
        </w:rPr>
        <w:tab/>
        <w:t>100%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59 g/l </w:t>
      </w:r>
      <w:r w:rsidRPr="00A42026">
        <w:rPr>
          <w:rFonts w:ascii="Arial" w:hAnsi="Arial"/>
          <w:sz w:val="20"/>
        </w:rPr>
        <w:tab/>
      </w:r>
      <w:r>
        <w:rPr>
          <w:rFonts w:ascii="Arial" w:hAnsi="Arial"/>
          <w:sz w:val="20"/>
        </w:rPr>
        <w:t>73.6</w:t>
      </w:r>
      <w:r w:rsidRPr="00A42026">
        <w:rPr>
          <w:rFonts w:ascii="Arial" w:hAnsi="Arial"/>
          <w:sz w:val="20"/>
        </w:rPr>
        <w:t xml:space="preserve"> g/l</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450 +/- 50%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300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r>
        <w:rPr>
          <w:rFonts w:ascii="Arial" w:hAnsi="Arial"/>
          <w:sz w:val="20"/>
        </w:rPr>
        <w:t>30</w:t>
      </w:r>
      <w:r w:rsidRPr="00A42026">
        <w:rPr>
          <w:rFonts w:ascii="Arial" w:hAnsi="Arial"/>
          <w:sz w:val="20"/>
        </w:rPr>
        <w:t xml:space="preserve">0 +/- 50 </w:t>
      </w:r>
      <w:proofErr w:type="spellStart"/>
      <w:r w:rsidRPr="00A42026">
        <w:rPr>
          <w:rFonts w:ascii="Arial" w:hAnsi="Arial"/>
          <w:sz w:val="20"/>
        </w:rPr>
        <w:t>pli</w:t>
      </w:r>
      <w:proofErr w:type="spellEnd"/>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80 +/- 5 Shore A </w:t>
      </w:r>
      <w:r w:rsidRPr="00A42026">
        <w:rPr>
          <w:rFonts w:ascii="Arial" w:hAnsi="Arial"/>
          <w:sz w:val="20"/>
        </w:rPr>
        <w:tab/>
        <w:t>85 +/- 5 Shore A</w:t>
      </w:r>
    </w:p>
    <w:p w:rsidR="004B209D" w:rsidRDefault="004B209D" w:rsidP="004B209D">
      <w:pPr>
        <w:pStyle w:val="PR2"/>
        <w:rPr>
          <w:rFonts w:ascii="Arial" w:hAnsi="Arial"/>
          <w:sz w:val="20"/>
        </w:rPr>
      </w:pPr>
      <w:r w:rsidRPr="00A42026">
        <w:rPr>
          <w:rFonts w:ascii="Arial" w:hAnsi="Arial"/>
          <w:sz w:val="20"/>
        </w:rPr>
        <w:t>Tests were performed with material and curing conditions at 75F and 50% relative humidity.</w:t>
      </w:r>
    </w:p>
    <w:p w:rsidR="00892EB5" w:rsidRDefault="00892EB5" w:rsidP="00892EB5">
      <w:pPr>
        <w:pStyle w:val="PR2"/>
        <w:numPr>
          <w:ilvl w:val="0"/>
          <w:numId w:val="0"/>
        </w:numPr>
        <w:ind w:left="1440"/>
        <w:rPr>
          <w:rFonts w:ascii="Arial" w:hAnsi="Arial"/>
          <w:sz w:val="20"/>
        </w:rPr>
      </w:pPr>
    </w:p>
    <w:p w:rsidR="00892EB5" w:rsidRPr="00A42026" w:rsidRDefault="00892EB5" w:rsidP="00892EB5">
      <w:pPr>
        <w:pStyle w:val="PR2"/>
        <w:numPr>
          <w:ilvl w:val="0"/>
          <w:numId w:val="0"/>
        </w:numPr>
        <w:ind w:left="1440"/>
        <w:rPr>
          <w:rFonts w:ascii="Arial" w:hAnsi="Arial"/>
          <w:sz w:val="20"/>
        </w:rPr>
      </w:pPr>
    </w:p>
    <w:p w:rsidR="009B58BA" w:rsidRPr="00A42026" w:rsidRDefault="009B58BA" w:rsidP="00C77FE5">
      <w:pPr>
        <w:pStyle w:val="PRT"/>
        <w:rPr>
          <w:rFonts w:ascii="Arial" w:hAnsi="Arial"/>
          <w:sz w:val="20"/>
          <w:szCs w:val="20"/>
        </w:rPr>
      </w:pPr>
      <w:r w:rsidRPr="00A42026">
        <w:rPr>
          <w:rFonts w:ascii="Arial" w:hAnsi="Arial"/>
          <w:sz w:val="20"/>
          <w:szCs w:val="20"/>
        </w:rPr>
        <w:lastRenderedPageBreak/>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lastRenderedPageBreak/>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w:t>
      </w:r>
      <w:r w:rsidR="00B712CF">
        <w:rPr>
          <w:rFonts w:ascii="Arial" w:hAnsi="Arial" w:cs="Arial"/>
          <w:sz w:val="20"/>
          <w:szCs w:val="20"/>
        </w:rPr>
        <w:t xml:space="preserve"> </w:t>
      </w:r>
      <w:r w:rsidRPr="00FC70B1">
        <w:rPr>
          <w:rFonts w:ascii="Arial" w:hAnsi="Arial" w:cs="Arial"/>
          <w:sz w:val="20"/>
          <w:szCs w:val="20"/>
        </w:rPr>
        <w:t xml:space="preserve">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lastRenderedPageBreak/>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23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3-4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B712CF" w:rsidRPr="00FC70B1" w:rsidRDefault="00B712CF" w:rsidP="00B712CF">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r w:rsidR="00407720">
        <w:rPr>
          <w:rFonts w:ascii="Arial" w:hAnsi="Arial"/>
          <w:sz w:val="20"/>
        </w:rPr>
        <w:t xml:space="preserve"> </w:t>
      </w:r>
      <w:r>
        <w:rPr>
          <w:rFonts w:ascii="Arial" w:hAnsi="Arial"/>
          <w:sz w:val="20"/>
        </w:rPr>
        <w:t>:</w:t>
      </w:r>
    </w:p>
    <w:p w:rsidR="005D03EE" w:rsidRDefault="005D03EE" w:rsidP="005D03EE">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Pr>
          <w:rFonts w:ascii="Arial" w:hAnsi="Arial" w:cs="Arial"/>
          <w:sz w:val="20"/>
          <w:szCs w:val="20"/>
        </w:rPr>
        <w:t xml:space="preserve"> and mixture</w:t>
      </w:r>
      <w:r w:rsidRPr="00D5610E">
        <w:rPr>
          <w:rFonts w:ascii="Arial" w:hAnsi="Arial" w:cs="Arial"/>
          <w:sz w:val="20"/>
          <w:szCs w:val="20"/>
        </w:rPr>
        <w:t>, making sure to scrape the solids</w:t>
      </w:r>
      <w:r>
        <w:rPr>
          <w:rFonts w:ascii="Arial" w:hAnsi="Arial" w:cs="Arial"/>
          <w:sz w:val="20"/>
          <w:szCs w:val="20"/>
        </w:rPr>
        <w:t xml:space="preserve"> and the aggregate </w:t>
      </w:r>
      <w:r w:rsidRPr="00D5610E">
        <w:rPr>
          <w:rFonts w:ascii="Arial" w:hAnsi="Arial" w:cs="Arial"/>
          <w:sz w:val="20"/>
          <w:szCs w:val="20"/>
        </w:rPr>
        <w:t xml:space="preserve"> from t</w:t>
      </w:r>
      <w:r>
        <w:rPr>
          <w:rFonts w:ascii="Arial" w:hAnsi="Arial" w:cs="Arial"/>
          <w:sz w:val="20"/>
          <w:szCs w:val="20"/>
        </w:rPr>
        <w:t>he bottom and sides of the pail</w:t>
      </w:r>
      <w:r w:rsidRPr="00D5610E">
        <w:rPr>
          <w:rFonts w:ascii="Arial" w:hAnsi="Arial" w:cs="Arial"/>
          <w:sz w:val="20"/>
          <w:szCs w:val="20"/>
        </w:rPr>
        <w:t xml:space="preserve">. </w:t>
      </w:r>
      <w:r>
        <w:rPr>
          <w:rFonts w:ascii="Arial" w:hAnsi="Arial" w:cs="Arial"/>
          <w:sz w:val="20"/>
          <w:szCs w:val="20"/>
        </w:rPr>
        <w:t xml:space="preserve">The aggregate should be evenly diffused in the resin. </w:t>
      </w:r>
    </w:p>
    <w:p w:rsidR="005D03EE" w:rsidRDefault="005D03EE" w:rsidP="005D03EE">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Pr="00D5610E">
        <w:rPr>
          <w:rFonts w:ascii="Arial" w:hAnsi="Arial" w:cs="Arial"/>
          <w:sz w:val="20"/>
          <w:szCs w:val="20"/>
        </w:rPr>
        <w:t>Do not break down kits into smaller quantit</w:t>
      </w:r>
      <w:r>
        <w:rPr>
          <w:rFonts w:ascii="Arial" w:hAnsi="Arial" w:cs="Arial"/>
          <w:sz w:val="20"/>
          <w:szCs w:val="20"/>
        </w:rPr>
        <w:t>ies; portions are premeasured.</w:t>
      </w:r>
    </w:p>
    <w:p w:rsidR="005D03EE" w:rsidRPr="006C6C0A" w:rsidRDefault="005D03EE" w:rsidP="005D03EE">
      <w:pPr>
        <w:pStyle w:val="PR2"/>
        <w:rPr>
          <w:rFonts w:ascii="Arial" w:hAnsi="Arial" w:cs="Arial"/>
          <w:sz w:val="20"/>
          <w:szCs w:val="20"/>
        </w:rPr>
      </w:pPr>
      <w:r>
        <w:rPr>
          <w:rFonts w:ascii="Arial" w:hAnsi="Arial" w:cs="Arial"/>
          <w:sz w:val="20"/>
          <w:szCs w:val="20"/>
        </w:rPr>
        <w:t xml:space="preserve"> </w:t>
      </w:r>
      <w:r w:rsidRPr="006C6C0A">
        <w:rPr>
          <w:rFonts w:ascii="Arial" w:hAnsi="Arial" w:cs="Arial"/>
          <w:sz w:val="20"/>
          <w:szCs w:val="20"/>
        </w:rPr>
        <w:t xml:space="preserve"> </w:t>
      </w:r>
    </w:p>
    <w:p w:rsidR="005D03EE" w:rsidRPr="00436D15" w:rsidRDefault="005D03EE" w:rsidP="005D03EE">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Pr="00436D15">
        <w:rPr>
          <w:rFonts w:ascii="Arial" w:hAnsi="Arial" w:cs="Arial"/>
          <w:sz w:val="20"/>
          <w:szCs w:val="20"/>
        </w:rPr>
        <w:t xml:space="preserve"> and</w:t>
      </w:r>
      <w:proofErr w:type="gramEnd"/>
      <w:r w:rsidRPr="00436D15">
        <w:rPr>
          <w:rFonts w:ascii="Arial" w:hAnsi="Arial" w:cs="Arial"/>
          <w:sz w:val="20"/>
          <w:szCs w:val="20"/>
        </w:rPr>
        <w:t xml:space="preserve"> </w:t>
      </w:r>
      <w:proofErr w:type="spellStart"/>
      <w:r w:rsidRPr="00436D15">
        <w:rPr>
          <w:rFonts w:ascii="Arial" w:hAnsi="Arial" w:cs="Arial"/>
          <w:sz w:val="20"/>
          <w:szCs w:val="20"/>
        </w:rPr>
        <w:t>backroll</w:t>
      </w:r>
      <w:proofErr w:type="spellEnd"/>
      <w:r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5D03EE" w:rsidRDefault="005D03EE" w:rsidP="005D03EE">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5D03EE" w:rsidRPr="006B5A1B" w:rsidRDefault="005D03EE"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p>
    <w:p w:rsidR="006C6C0A" w:rsidRDefault="0015157D" w:rsidP="006C6C0A">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sidR="006C6C0A">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sidR="006C6C0A">
        <w:rPr>
          <w:rFonts w:ascii="Arial" w:hAnsi="Arial" w:cs="Arial"/>
          <w:sz w:val="20"/>
          <w:szCs w:val="20"/>
        </w:rPr>
        <w:t xml:space="preserve"> and mixture</w:t>
      </w:r>
      <w:r w:rsidRPr="00D5610E">
        <w:rPr>
          <w:rFonts w:ascii="Arial" w:hAnsi="Arial" w:cs="Arial"/>
          <w:sz w:val="20"/>
          <w:szCs w:val="20"/>
        </w:rPr>
        <w:t>, making sure to scrape the solids</w:t>
      </w:r>
      <w:r w:rsidR="006C6C0A">
        <w:rPr>
          <w:rFonts w:ascii="Arial" w:hAnsi="Arial" w:cs="Arial"/>
          <w:sz w:val="20"/>
          <w:szCs w:val="20"/>
        </w:rPr>
        <w:t xml:space="preserve"> and the aggregate </w:t>
      </w:r>
      <w:r w:rsidRPr="00D5610E">
        <w:rPr>
          <w:rFonts w:ascii="Arial" w:hAnsi="Arial" w:cs="Arial"/>
          <w:sz w:val="20"/>
          <w:szCs w:val="20"/>
        </w:rPr>
        <w:t xml:space="preserve"> from t</w:t>
      </w:r>
      <w:r w:rsidR="006C6C0A">
        <w:rPr>
          <w:rFonts w:ascii="Arial" w:hAnsi="Arial" w:cs="Arial"/>
          <w:sz w:val="20"/>
          <w:szCs w:val="20"/>
        </w:rPr>
        <w:t>he bottom and sides of the pail</w:t>
      </w:r>
      <w:r w:rsidRPr="00D5610E">
        <w:rPr>
          <w:rFonts w:ascii="Arial" w:hAnsi="Arial" w:cs="Arial"/>
          <w:sz w:val="20"/>
          <w:szCs w:val="20"/>
        </w:rPr>
        <w:t xml:space="preserve">. </w:t>
      </w:r>
      <w:r w:rsidR="006C6C0A">
        <w:rPr>
          <w:rFonts w:ascii="Arial" w:hAnsi="Arial" w:cs="Arial"/>
          <w:sz w:val="20"/>
          <w:szCs w:val="20"/>
        </w:rPr>
        <w:t xml:space="preserve">The aggregate should be evenly diffused in the resin. </w:t>
      </w:r>
    </w:p>
    <w:p w:rsidR="00436D15" w:rsidRDefault="006C6C0A" w:rsidP="006C6C0A">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0015157D" w:rsidRPr="00D5610E">
        <w:rPr>
          <w:rFonts w:ascii="Arial" w:hAnsi="Arial" w:cs="Arial"/>
          <w:sz w:val="20"/>
          <w:szCs w:val="20"/>
        </w:rPr>
        <w:t>Do not break down kits into smaller quantit</w:t>
      </w:r>
      <w:r>
        <w:rPr>
          <w:rFonts w:ascii="Arial" w:hAnsi="Arial" w:cs="Arial"/>
          <w:sz w:val="20"/>
          <w:szCs w:val="20"/>
        </w:rPr>
        <w:t>ies; portions are premeasured.</w:t>
      </w:r>
    </w:p>
    <w:p w:rsidR="0015157D" w:rsidRPr="006C6C0A" w:rsidRDefault="006C6C0A" w:rsidP="006C6C0A">
      <w:pPr>
        <w:pStyle w:val="PR2"/>
        <w:rPr>
          <w:rFonts w:ascii="Arial" w:hAnsi="Arial" w:cs="Arial"/>
          <w:sz w:val="20"/>
          <w:szCs w:val="20"/>
        </w:rPr>
      </w:pPr>
      <w:r>
        <w:rPr>
          <w:rFonts w:ascii="Arial" w:hAnsi="Arial" w:cs="Arial"/>
          <w:sz w:val="20"/>
          <w:szCs w:val="20"/>
        </w:rPr>
        <w:t xml:space="preserve"> </w:t>
      </w:r>
      <w:r w:rsidR="0015157D" w:rsidRPr="006C6C0A">
        <w:rPr>
          <w:rFonts w:ascii="Arial" w:hAnsi="Arial" w:cs="Arial"/>
          <w:sz w:val="20"/>
          <w:szCs w:val="20"/>
        </w:rPr>
        <w:t xml:space="preserve"> </w:t>
      </w:r>
    </w:p>
    <w:p w:rsidR="0015157D" w:rsidRPr="00436D15" w:rsidRDefault="00436D15" w:rsidP="00436D15">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0015157D"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0015157D" w:rsidRPr="00436D15">
        <w:rPr>
          <w:rFonts w:ascii="Arial" w:hAnsi="Arial" w:cs="Arial"/>
          <w:sz w:val="20"/>
          <w:szCs w:val="20"/>
        </w:rPr>
        <w:t xml:space="preserve"> and</w:t>
      </w:r>
      <w:proofErr w:type="gramEnd"/>
      <w:r w:rsidR="0015157D" w:rsidRPr="00436D15">
        <w:rPr>
          <w:rFonts w:ascii="Arial" w:hAnsi="Arial" w:cs="Arial"/>
          <w:sz w:val="20"/>
          <w:szCs w:val="20"/>
        </w:rPr>
        <w:t xml:space="preserve"> </w:t>
      </w:r>
      <w:proofErr w:type="spellStart"/>
      <w:r w:rsidR="0015157D" w:rsidRPr="00436D15">
        <w:rPr>
          <w:rFonts w:ascii="Arial" w:hAnsi="Arial" w:cs="Arial"/>
          <w:sz w:val="20"/>
          <w:szCs w:val="20"/>
        </w:rPr>
        <w:t>backroll</w:t>
      </w:r>
      <w:proofErr w:type="spellEnd"/>
      <w:r w:rsidR="0015157D"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0015157D"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15157D" w:rsidRDefault="0015157D" w:rsidP="0015157D">
      <w:pPr>
        <w:pStyle w:val="PR2"/>
        <w:numPr>
          <w:ilvl w:val="0"/>
          <w:numId w:val="0"/>
        </w:numPr>
        <w:ind w:left="864"/>
        <w:rPr>
          <w:rFonts w:ascii="Arial" w:hAnsi="Arial" w:cs="Arial"/>
          <w:sz w:val="20"/>
          <w:szCs w:val="20"/>
        </w:rPr>
      </w:pPr>
      <w:r w:rsidRPr="00D5610E">
        <w:rPr>
          <w:rFonts w:ascii="Arial" w:hAnsi="Arial" w:cs="Arial"/>
          <w:sz w:val="20"/>
          <w:szCs w:val="20"/>
        </w:rPr>
        <w:lastRenderedPageBreak/>
        <w:t>Allow coating to cure a minimum of 3-4 hours at 70 degrees F and 50% RH or until tack free between coats, and a minimum of 36 hours before opening to vehicular traffic</w:t>
      </w: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68" w:rsidRDefault="001A3768">
      <w:r>
        <w:separator/>
      </w:r>
    </w:p>
  </w:endnote>
  <w:endnote w:type="continuationSeparator" w:id="0">
    <w:p w:rsidR="001A3768" w:rsidRDefault="001A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Default="0046522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225" w:rsidRDefault="00465225"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465225" w:rsidRPr="003C7948" w:rsidRDefault="00465225"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175857">
      <w:rPr>
        <w:rFonts w:ascii="Arial" w:hAnsi="Arial"/>
        <w:noProof/>
        <w:sz w:val="20"/>
      </w:rPr>
      <w:t>6</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68" w:rsidRDefault="001A3768">
      <w:r>
        <w:separator/>
      </w:r>
    </w:p>
  </w:footnote>
  <w:footnote w:type="continuationSeparator" w:id="0">
    <w:p w:rsidR="001A3768" w:rsidRDefault="001A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465225" w:rsidRPr="00A42026" w:rsidRDefault="00465225"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175857">
      <w:rPr>
        <w:rFonts w:ascii="Arial" w:hAnsi="Arial"/>
        <w:sz w:val="20"/>
      </w:rPr>
      <w:t>April 2019</w:t>
    </w:r>
  </w:p>
  <w:p w:rsidR="00465225" w:rsidRPr="003C7948" w:rsidRDefault="00465225"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47D7E"/>
    <w:rsid w:val="00150DA2"/>
    <w:rsid w:val="0015157D"/>
    <w:rsid w:val="0015637F"/>
    <w:rsid w:val="00160D2D"/>
    <w:rsid w:val="00175857"/>
    <w:rsid w:val="00187A18"/>
    <w:rsid w:val="001A3768"/>
    <w:rsid w:val="001C3565"/>
    <w:rsid w:val="001D18F2"/>
    <w:rsid w:val="001D7EF2"/>
    <w:rsid w:val="001E6108"/>
    <w:rsid w:val="001F2644"/>
    <w:rsid w:val="001F5E76"/>
    <w:rsid w:val="00225EEE"/>
    <w:rsid w:val="00242AC2"/>
    <w:rsid w:val="002552D5"/>
    <w:rsid w:val="00255690"/>
    <w:rsid w:val="0026247A"/>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3BFD"/>
    <w:rsid w:val="007318BC"/>
    <w:rsid w:val="007402B9"/>
    <w:rsid w:val="007474F5"/>
    <w:rsid w:val="00750D77"/>
    <w:rsid w:val="0076144D"/>
    <w:rsid w:val="00777086"/>
    <w:rsid w:val="007A425D"/>
    <w:rsid w:val="007A4F1C"/>
    <w:rsid w:val="007B3D8A"/>
    <w:rsid w:val="007B7E77"/>
    <w:rsid w:val="007C4158"/>
    <w:rsid w:val="007D74C4"/>
    <w:rsid w:val="007E2CC1"/>
    <w:rsid w:val="007E3263"/>
    <w:rsid w:val="007E5C86"/>
    <w:rsid w:val="007F780B"/>
    <w:rsid w:val="00815535"/>
    <w:rsid w:val="0082398F"/>
    <w:rsid w:val="00827DD1"/>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207B1"/>
    <w:rsid w:val="00A2439D"/>
    <w:rsid w:val="00A42026"/>
    <w:rsid w:val="00A4376D"/>
    <w:rsid w:val="00A4479C"/>
    <w:rsid w:val="00A57DD9"/>
    <w:rsid w:val="00A84477"/>
    <w:rsid w:val="00A870A5"/>
    <w:rsid w:val="00A937A8"/>
    <w:rsid w:val="00AA1444"/>
    <w:rsid w:val="00AA4C1C"/>
    <w:rsid w:val="00AC7028"/>
    <w:rsid w:val="00AD099B"/>
    <w:rsid w:val="00B03092"/>
    <w:rsid w:val="00B06CFF"/>
    <w:rsid w:val="00B26297"/>
    <w:rsid w:val="00B26D55"/>
    <w:rsid w:val="00B365ED"/>
    <w:rsid w:val="00B579E5"/>
    <w:rsid w:val="00B63D44"/>
    <w:rsid w:val="00B712CF"/>
    <w:rsid w:val="00B8033B"/>
    <w:rsid w:val="00B80684"/>
    <w:rsid w:val="00B82EA8"/>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9665-FC16-4678-A313-48A4CA7E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7289">
      <w:bodyDiv w:val="1"/>
      <w:marLeft w:val="0"/>
      <w:marRight w:val="0"/>
      <w:marTop w:val="0"/>
      <w:marBottom w:val="0"/>
      <w:divBdr>
        <w:top w:val="none" w:sz="0" w:space="0" w:color="auto"/>
        <w:left w:val="none" w:sz="0" w:space="0" w:color="auto"/>
        <w:bottom w:val="none" w:sz="0" w:space="0" w:color="auto"/>
        <w:right w:val="none" w:sz="0" w:space="0" w:color="auto"/>
      </w:divBdr>
    </w:div>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9192-F657-4880-B9C7-956ADCB8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17891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2019-04-22T16:49:00Z</dcterms:created>
  <dcterms:modified xsi:type="dcterms:W3CDTF">2019-04-23T13:01:00Z</dcterms:modified>
</cp:coreProperties>
</file>